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D2" w:rsidRPr="00C673BB" w:rsidRDefault="00704DD2" w:rsidP="00C673BB">
      <w:pPr>
        <w:spacing w:before="100" w:beforeAutospacing="1" w:after="0" w:line="0" w:lineRule="atLeast"/>
        <w:jc w:val="center"/>
        <w:outlineLvl w:val="0"/>
        <w:rPr>
          <w:rFonts w:ascii="Georgia" w:eastAsia="Times New Roman" w:hAnsi="Georgia" w:cs="Tahoma"/>
          <w:b/>
          <w:color w:val="002060"/>
          <w:kern w:val="36"/>
          <w:sz w:val="45"/>
          <w:szCs w:val="45"/>
        </w:rPr>
      </w:pPr>
      <w:r w:rsidRPr="00C673BB">
        <w:rPr>
          <w:rFonts w:ascii="Georgia" w:eastAsia="Times New Roman" w:hAnsi="Georgia" w:cs="Tahoma"/>
          <w:b/>
          <w:color w:val="002060"/>
          <w:kern w:val="36"/>
          <w:sz w:val="45"/>
          <w:szCs w:val="45"/>
        </w:rPr>
        <w:t>Planned Gifts</w:t>
      </w:r>
    </w:p>
    <w:p w:rsidR="00704DD2" w:rsidRPr="00C673BB" w:rsidRDefault="00704DD2" w:rsidP="00C673BB">
      <w:pPr>
        <w:spacing w:after="0" w:line="0" w:lineRule="atLeast"/>
        <w:jc w:val="center"/>
        <w:outlineLvl w:val="0"/>
        <w:rPr>
          <w:rFonts w:ascii="Georgia" w:eastAsia="Times New Roman" w:hAnsi="Georgia" w:cs="Tahoma"/>
          <w:b/>
          <w:color w:val="002060"/>
          <w:kern w:val="36"/>
          <w:sz w:val="45"/>
          <w:szCs w:val="45"/>
        </w:rPr>
      </w:pPr>
      <w:r w:rsidRPr="00C673BB">
        <w:rPr>
          <w:rFonts w:ascii="Georgia" w:eastAsia="Times New Roman" w:hAnsi="Georgia" w:cs="Tahoma"/>
          <w:b/>
          <w:color w:val="002060"/>
          <w:kern w:val="36"/>
          <w:sz w:val="45"/>
          <w:szCs w:val="45"/>
        </w:rPr>
        <w:t>Annuities and Trusts</w:t>
      </w:r>
    </w:p>
    <w:tbl>
      <w:tblPr>
        <w:tblW w:w="5000" w:type="pct"/>
        <w:tblCellSpacing w:w="0" w:type="dxa"/>
        <w:tblCellMar>
          <w:left w:w="0" w:type="dxa"/>
          <w:right w:w="0" w:type="dxa"/>
        </w:tblCellMar>
        <w:tblLook w:val="04A0" w:firstRow="1" w:lastRow="0" w:firstColumn="1" w:lastColumn="0" w:noHBand="0" w:noVBand="1"/>
      </w:tblPr>
      <w:tblGrid>
        <w:gridCol w:w="5314"/>
        <w:gridCol w:w="5314"/>
      </w:tblGrid>
      <w:tr w:rsidR="008412E6" w:rsidRPr="008412E6" w:rsidTr="00704DD2">
        <w:trPr>
          <w:trHeight w:val="60"/>
          <w:tblCellSpacing w:w="0" w:type="dxa"/>
        </w:trPr>
        <w:tc>
          <w:tcPr>
            <w:tcW w:w="0" w:type="auto"/>
            <w:gridSpan w:val="2"/>
            <w:hideMark/>
          </w:tcPr>
          <w:p w:rsidR="008412E6" w:rsidRPr="00704DD2" w:rsidRDefault="008412E6" w:rsidP="00A96F60">
            <w:pPr>
              <w:spacing w:before="225" w:after="30" w:line="240" w:lineRule="auto"/>
              <w:jc w:val="center"/>
              <w:outlineLvl w:val="4"/>
              <w:rPr>
                <w:rFonts w:ascii="Georgia" w:eastAsia="Times New Roman" w:hAnsi="Georgia" w:cs="Tahoma"/>
                <w:color w:val="163112"/>
                <w:kern w:val="36"/>
                <w:sz w:val="16"/>
                <w:szCs w:val="16"/>
                <w:u w:val="single"/>
              </w:rPr>
            </w:pPr>
          </w:p>
        </w:tc>
      </w:tr>
      <w:tr w:rsidR="008412E6" w:rsidRPr="008412E6">
        <w:trPr>
          <w:tblCellSpacing w:w="0" w:type="dxa"/>
        </w:trPr>
        <w:tc>
          <w:tcPr>
            <w:tcW w:w="0" w:type="auto"/>
            <w:vAlign w:val="center"/>
            <w:hideMark/>
          </w:tcPr>
          <w:p w:rsidR="008412E6" w:rsidRPr="008412E6" w:rsidRDefault="008412E6" w:rsidP="008412E6">
            <w:pPr>
              <w:spacing w:after="0" w:line="240" w:lineRule="auto"/>
              <w:rPr>
                <w:rFonts w:ascii="Arial" w:eastAsia="Times New Roman" w:hAnsi="Arial" w:cs="Arial"/>
                <w:color w:val="434343"/>
                <w:sz w:val="18"/>
                <w:szCs w:val="18"/>
              </w:rPr>
            </w:pPr>
          </w:p>
        </w:tc>
        <w:tc>
          <w:tcPr>
            <w:tcW w:w="0" w:type="auto"/>
            <w:vAlign w:val="center"/>
            <w:hideMark/>
          </w:tcPr>
          <w:p w:rsidR="008412E6" w:rsidRPr="008412E6" w:rsidRDefault="008412E6" w:rsidP="008412E6">
            <w:pPr>
              <w:spacing w:after="0" w:line="240" w:lineRule="auto"/>
              <w:rPr>
                <w:rFonts w:ascii="Times New Roman" w:eastAsia="Times New Roman" w:hAnsi="Times New Roman" w:cs="Times New Roman"/>
                <w:sz w:val="20"/>
                <w:szCs w:val="20"/>
              </w:rPr>
            </w:pPr>
          </w:p>
        </w:tc>
      </w:tr>
    </w:tbl>
    <w:p w:rsidR="008412E6" w:rsidRPr="00052D1C" w:rsidRDefault="008412E6" w:rsidP="008412E6">
      <w:pPr>
        <w:spacing w:after="0" w:line="240" w:lineRule="auto"/>
        <w:rPr>
          <w:rFonts w:ascii="Georgia" w:eastAsia="Times New Roman" w:hAnsi="Georgia" w:cs="Arial"/>
          <w:vanish/>
          <w:color w:val="2315AB"/>
          <w:sz w:val="18"/>
          <w:szCs w:val="18"/>
        </w:rPr>
      </w:pPr>
    </w:p>
    <w:p w:rsidR="00F41B87" w:rsidRPr="00F41B87" w:rsidRDefault="00F41B87" w:rsidP="00F41B87">
      <w:pPr>
        <w:widowControl w:val="0"/>
        <w:spacing w:after="0" w:line="240" w:lineRule="auto"/>
        <w:jc w:val="both"/>
        <w:rPr>
          <w:rFonts w:ascii="Arial" w:eastAsia="Times New Roman" w:hAnsi="Arial" w:cs="Arial"/>
          <w:snapToGrid w:val="0"/>
          <w:sz w:val="18"/>
          <w:szCs w:val="18"/>
        </w:rPr>
      </w:pPr>
    </w:p>
    <w:p w:rsidR="00431296" w:rsidRDefault="00431296" w:rsidP="00F41B87">
      <w:pPr>
        <w:widowControl w:val="0"/>
        <w:spacing w:after="0" w:line="240" w:lineRule="auto"/>
        <w:jc w:val="both"/>
        <w:rPr>
          <w:rFonts w:ascii="Arial" w:eastAsia="Times New Roman" w:hAnsi="Arial" w:cs="Arial"/>
          <w:snapToGrid w:val="0"/>
          <w:sz w:val="18"/>
          <w:szCs w:val="18"/>
        </w:rPr>
      </w:pPr>
    </w:p>
    <w:p w:rsidR="00431296" w:rsidRPr="00C673BB" w:rsidRDefault="00431296" w:rsidP="00431296">
      <w:pPr>
        <w:widowControl w:val="0"/>
        <w:spacing w:after="0" w:line="240" w:lineRule="auto"/>
        <w:jc w:val="center"/>
        <w:rPr>
          <w:rFonts w:ascii="Georgia" w:eastAsia="Times New Roman" w:hAnsi="Georgia" w:cs="Arial"/>
          <w:snapToGrid w:val="0"/>
          <w:color w:val="002060"/>
          <w:sz w:val="28"/>
          <w:szCs w:val="28"/>
        </w:rPr>
      </w:pPr>
      <w:r w:rsidRPr="00C673BB">
        <w:rPr>
          <w:rFonts w:ascii="Georgia" w:eastAsia="Times New Roman" w:hAnsi="Georgia" w:cs="Arial"/>
          <w:b/>
          <w:bCs/>
          <w:color w:val="002060"/>
          <w:sz w:val="28"/>
          <w:szCs w:val="28"/>
        </w:rPr>
        <w:t>“Planned Giving”</w:t>
      </w:r>
    </w:p>
    <w:p w:rsidR="00431296" w:rsidRPr="00704DD2" w:rsidRDefault="00431296" w:rsidP="00F41B87">
      <w:pPr>
        <w:widowControl w:val="0"/>
        <w:spacing w:after="0" w:line="240" w:lineRule="auto"/>
        <w:jc w:val="both"/>
        <w:rPr>
          <w:rFonts w:eastAsia="Times New Roman" w:cs="Arial"/>
          <w:snapToGrid w:val="0"/>
          <w:sz w:val="24"/>
          <w:szCs w:val="24"/>
        </w:rPr>
      </w:pPr>
    </w:p>
    <w:p w:rsidR="00F41B87" w:rsidRPr="00704DD2" w:rsidRDefault="00F41B87" w:rsidP="00F41B87">
      <w:pPr>
        <w:widowControl w:val="0"/>
        <w:spacing w:after="0" w:line="240" w:lineRule="auto"/>
        <w:jc w:val="both"/>
        <w:rPr>
          <w:rFonts w:eastAsia="Times New Roman" w:cs="Arial"/>
          <w:color w:val="434343"/>
          <w:sz w:val="24"/>
          <w:szCs w:val="24"/>
        </w:rPr>
      </w:pPr>
      <w:r w:rsidRPr="00704DD2">
        <w:rPr>
          <w:rFonts w:eastAsia="Times New Roman" w:cs="Arial"/>
          <w:snapToGrid w:val="0"/>
          <w:sz w:val="24"/>
          <w:szCs w:val="24"/>
        </w:rPr>
        <w:t xml:space="preserve">The Blue White Scholarship Foundation (Foundation) supports Villanova University students and the Catholic and Augustinian character of the University, through a scholarship program for undergraduate students who are entering their Junior and Senior years and who are in financial need.  The scholarship program is open to </w:t>
      </w:r>
      <w:r w:rsidR="00B22F4E" w:rsidRPr="00704DD2">
        <w:rPr>
          <w:rFonts w:eastAsia="Times New Roman" w:cs="Arial"/>
          <w:snapToGrid w:val="0"/>
          <w:sz w:val="24"/>
          <w:szCs w:val="24"/>
        </w:rPr>
        <w:t xml:space="preserve">students in all </w:t>
      </w:r>
      <w:r w:rsidRPr="00704DD2">
        <w:rPr>
          <w:rFonts w:eastAsia="Times New Roman" w:cs="Arial"/>
          <w:snapToGrid w:val="0"/>
          <w:sz w:val="24"/>
          <w:szCs w:val="24"/>
        </w:rPr>
        <w:t>academic majors who value and exemplify Catholic values and who are committed to practicing in their own lives the Augustinian tradition of integrating faith and reason. The scholarship is based on Financial Need, Superior Academic Ability, Service in the Community and a Strong Work Ethic</w:t>
      </w:r>
      <w:r w:rsidRPr="00704DD2">
        <w:rPr>
          <w:rFonts w:eastAsia="Times New Roman" w:cs="Arial"/>
          <w:color w:val="434343"/>
          <w:sz w:val="24"/>
          <w:szCs w:val="24"/>
        </w:rPr>
        <w:t>. The perpetual need for supporting these deserving students makes the Blue White Scholarship Foundation an ideal object for planned giving.</w:t>
      </w:r>
    </w:p>
    <w:p w:rsidR="00F41B87" w:rsidRPr="00C673BB" w:rsidRDefault="00F41B87" w:rsidP="00FD027E">
      <w:pPr>
        <w:spacing w:before="100" w:beforeAutospacing="1" w:after="100" w:afterAutospacing="1" w:line="240" w:lineRule="auto"/>
        <w:jc w:val="center"/>
        <w:rPr>
          <w:rFonts w:ascii="Georgia" w:eastAsia="Times New Roman" w:hAnsi="Georgia" w:cs="Arial"/>
          <w:b/>
          <w:bCs/>
          <w:color w:val="002060"/>
          <w:sz w:val="28"/>
          <w:szCs w:val="28"/>
        </w:rPr>
      </w:pPr>
      <w:r w:rsidRPr="00C673BB">
        <w:rPr>
          <w:rFonts w:ascii="Georgia" w:eastAsia="Times New Roman" w:hAnsi="Georgia" w:cs="Arial"/>
          <w:b/>
          <w:bCs/>
          <w:color w:val="002060"/>
          <w:sz w:val="28"/>
          <w:szCs w:val="28"/>
        </w:rPr>
        <w:t>Charitable Gift Annuity</w:t>
      </w:r>
    </w:p>
    <w:p w:rsidR="00F41B87" w:rsidRPr="00704DD2" w:rsidRDefault="00F41B87" w:rsidP="00F41B87">
      <w:pPr>
        <w:spacing w:before="100" w:beforeAutospacing="1" w:after="100" w:afterAutospacing="1" w:line="240" w:lineRule="auto"/>
        <w:jc w:val="both"/>
        <w:rPr>
          <w:rFonts w:eastAsia="Times New Roman" w:cs="Arial"/>
          <w:sz w:val="24"/>
          <w:szCs w:val="24"/>
        </w:rPr>
      </w:pPr>
      <w:r w:rsidRPr="00704DD2">
        <w:rPr>
          <w:rFonts w:eastAsia="Times New Roman" w:cs="Arial"/>
          <w:sz w:val="24"/>
          <w:szCs w:val="24"/>
        </w:rPr>
        <w:t>A charitable gift annuity is a straightforward agreement between you and the Foundation, which provides a guaranteed fixed lifetime income that is partially tax-free, provides an income tax deduction, and often has attractive income rates, particularly for individuals who are 70 or older</w:t>
      </w:r>
      <w:r w:rsidR="00431296" w:rsidRPr="00704DD2">
        <w:rPr>
          <w:rFonts w:eastAsia="Times New Roman" w:cs="Arial"/>
          <w:sz w:val="24"/>
          <w:szCs w:val="24"/>
        </w:rPr>
        <w:t xml:space="preserve">. </w:t>
      </w:r>
      <w:r w:rsidRPr="00704DD2">
        <w:rPr>
          <w:rFonts w:eastAsia="Times New Roman" w:cs="Arial"/>
          <w:sz w:val="24"/>
          <w:szCs w:val="24"/>
        </w:rPr>
        <w:t xml:space="preserve"> </w:t>
      </w:r>
      <w:r w:rsidR="00431296" w:rsidRPr="00704DD2">
        <w:rPr>
          <w:rFonts w:eastAsia="Times New Roman" w:cs="Arial"/>
          <w:sz w:val="24"/>
          <w:szCs w:val="24"/>
        </w:rPr>
        <w:t>T</w:t>
      </w:r>
      <w:r w:rsidRPr="00704DD2">
        <w:rPr>
          <w:rFonts w:eastAsia="Times New Roman" w:cs="Arial"/>
          <w:sz w:val="24"/>
          <w:szCs w:val="24"/>
        </w:rPr>
        <w:t>he charitable remainder creates a permanent flow of funds for the charity(</w:t>
      </w:r>
      <w:proofErr w:type="spellStart"/>
      <w:r w:rsidRPr="00704DD2">
        <w:rPr>
          <w:rFonts w:eastAsia="Times New Roman" w:cs="Arial"/>
          <w:sz w:val="24"/>
          <w:szCs w:val="24"/>
        </w:rPr>
        <w:t>ies</w:t>
      </w:r>
      <w:proofErr w:type="spellEnd"/>
      <w:r w:rsidRPr="00704DD2">
        <w:rPr>
          <w:rFonts w:eastAsia="Times New Roman" w:cs="Arial"/>
          <w:sz w:val="24"/>
          <w:szCs w:val="24"/>
        </w:rPr>
        <w:t xml:space="preserve">) of your choosing. </w:t>
      </w:r>
      <w:r w:rsidRPr="00704DD2">
        <w:rPr>
          <w:rFonts w:eastAsia="Times New Roman" w:cs="Arial"/>
          <w:iCs/>
          <w:sz w:val="24"/>
          <w:szCs w:val="24"/>
        </w:rPr>
        <w:t>Minimum contribution: $25,000. Minimum age: 60 (or 50 for deferred).</w:t>
      </w:r>
    </w:p>
    <w:p w:rsidR="00F41B87" w:rsidRPr="00C673BB" w:rsidRDefault="00F41B87" w:rsidP="00FD027E">
      <w:pPr>
        <w:spacing w:after="0" w:line="240" w:lineRule="auto"/>
        <w:jc w:val="center"/>
        <w:outlineLvl w:val="4"/>
        <w:rPr>
          <w:rFonts w:ascii="Georgia" w:eastAsia="Times New Roman" w:hAnsi="Georgia" w:cs="Arial"/>
          <w:b/>
          <w:bCs/>
          <w:color w:val="002060"/>
          <w:sz w:val="28"/>
          <w:szCs w:val="28"/>
        </w:rPr>
      </w:pPr>
      <w:r w:rsidRPr="00C673BB">
        <w:rPr>
          <w:rFonts w:ascii="Georgia" w:eastAsia="Times New Roman" w:hAnsi="Georgia" w:cs="Arial"/>
          <w:b/>
          <w:bCs/>
          <w:color w:val="002060"/>
          <w:sz w:val="28"/>
          <w:szCs w:val="28"/>
        </w:rPr>
        <w:t>Charitable Remainder Trust</w:t>
      </w:r>
    </w:p>
    <w:p w:rsidR="00FD027E" w:rsidRPr="00704DD2" w:rsidRDefault="00F41B87" w:rsidP="00FD027E">
      <w:pPr>
        <w:spacing w:before="100" w:beforeAutospacing="1" w:after="100" w:afterAutospacing="1" w:line="240" w:lineRule="auto"/>
        <w:jc w:val="both"/>
        <w:rPr>
          <w:rFonts w:eastAsia="Times New Roman" w:cs="Arial"/>
          <w:iCs/>
          <w:sz w:val="24"/>
          <w:szCs w:val="24"/>
        </w:rPr>
      </w:pPr>
      <w:r w:rsidRPr="00704DD2">
        <w:rPr>
          <w:rFonts w:eastAsia="Times New Roman" w:cs="Arial"/>
          <w:sz w:val="24"/>
          <w:szCs w:val="24"/>
        </w:rPr>
        <w:t xml:space="preserve">A charitable remainder trust (CRT) provides either a fixed or variable lifetime income and an immediate income tax deduction to you. By using a CRT, you can bypass capital gain taxes and reduce your estate taxes. After the trust expires, the charitable remainder is directed to specific organizations or broader areas of interest that you designate in the original trust agreement. Although we do not create trust agreements, if you are not already working with an attorney or other </w:t>
      </w:r>
      <w:r w:rsidR="00FD027E" w:rsidRPr="00704DD2">
        <w:rPr>
          <w:rFonts w:eastAsia="Times New Roman" w:cs="Arial"/>
          <w:sz w:val="24"/>
          <w:szCs w:val="24"/>
        </w:rPr>
        <w:t xml:space="preserve">professional, we would be happy to recommend some professionals to contact. </w:t>
      </w:r>
    </w:p>
    <w:p w:rsidR="00F41B87" w:rsidRPr="00C673BB" w:rsidRDefault="00F41B87" w:rsidP="00FD027E">
      <w:pPr>
        <w:spacing w:before="225" w:after="30" w:line="240" w:lineRule="auto"/>
        <w:jc w:val="center"/>
        <w:outlineLvl w:val="4"/>
        <w:rPr>
          <w:rFonts w:ascii="Georgia" w:eastAsia="Times New Roman" w:hAnsi="Georgia" w:cs="Arial"/>
          <w:b/>
          <w:bCs/>
          <w:color w:val="002060"/>
          <w:sz w:val="28"/>
          <w:szCs w:val="28"/>
        </w:rPr>
      </w:pPr>
      <w:r w:rsidRPr="00C673BB">
        <w:rPr>
          <w:rFonts w:ascii="Georgia" w:eastAsia="Times New Roman" w:hAnsi="Georgia" w:cs="Arial"/>
          <w:b/>
          <w:bCs/>
          <w:color w:val="002060"/>
          <w:sz w:val="28"/>
          <w:szCs w:val="28"/>
        </w:rPr>
        <w:t>Charitable Lead Trust</w:t>
      </w:r>
    </w:p>
    <w:p w:rsidR="00F41B87" w:rsidRDefault="00F41B87" w:rsidP="00F41B87">
      <w:pPr>
        <w:spacing w:before="100" w:beforeAutospacing="1" w:after="100" w:afterAutospacing="1" w:line="240" w:lineRule="auto"/>
        <w:jc w:val="both"/>
        <w:rPr>
          <w:rFonts w:eastAsia="Times New Roman" w:cs="Arial"/>
          <w:sz w:val="24"/>
          <w:szCs w:val="24"/>
        </w:rPr>
      </w:pPr>
      <w:r w:rsidRPr="00704DD2">
        <w:rPr>
          <w:rFonts w:eastAsia="Times New Roman" w:cs="Arial"/>
          <w:sz w:val="24"/>
          <w:szCs w:val="24"/>
        </w:rPr>
        <w:t>A charitable lead trust will appeal to those who want to leave an inheritance for children and grandchildren while minimizing the percentage taken by estate and other inheritance taxes. While a variety of asset types can be used, one of the most common is revenue-generating real estate such as apartment buildings. In all cases, the income from the trust comes to the foundation for a number of years that you specify.</w:t>
      </w:r>
      <w:r w:rsidR="001A6BD4" w:rsidRPr="00704DD2">
        <w:rPr>
          <w:rFonts w:eastAsia="Times New Roman" w:cs="Arial"/>
          <w:sz w:val="24"/>
          <w:szCs w:val="24"/>
        </w:rPr>
        <w:t xml:space="preserve"> </w:t>
      </w:r>
      <w:r w:rsidRPr="00704DD2">
        <w:rPr>
          <w:rFonts w:eastAsia="Times New Roman" w:cs="Arial"/>
          <w:sz w:val="24"/>
          <w:szCs w:val="24"/>
        </w:rPr>
        <w:t xml:space="preserve">These proceeds are used to </w:t>
      </w:r>
      <w:r w:rsidR="00762CBF">
        <w:rPr>
          <w:rFonts w:eastAsia="Times New Roman" w:cs="Arial"/>
          <w:sz w:val="24"/>
          <w:szCs w:val="24"/>
        </w:rPr>
        <w:t>build our Endowment Fund</w:t>
      </w:r>
      <w:r w:rsidRPr="00704DD2">
        <w:rPr>
          <w:rFonts w:eastAsia="Times New Roman" w:cs="Arial"/>
          <w:sz w:val="24"/>
          <w:szCs w:val="24"/>
        </w:rPr>
        <w:t>. When the trust is terminated, the assets within the trust can go either return to you or be given to another party (typically children or grandchildren). Although we do not create trust agreements, if you are not already working with an attorney or other professional, we would be happy to recommend some professionals to contact</w:t>
      </w:r>
      <w:r w:rsidR="00762CBF">
        <w:rPr>
          <w:rFonts w:eastAsia="Times New Roman" w:cs="Arial"/>
          <w:sz w:val="24"/>
          <w:szCs w:val="24"/>
        </w:rPr>
        <w:t>.</w:t>
      </w:r>
    </w:p>
    <w:p w:rsidR="00C673BB" w:rsidRPr="00704DD2" w:rsidRDefault="00C673BB" w:rsidP="00F41B87">
      <w:pPr>
        <w:spacing w:before="100" w:beforeAutospacing="1" w:after="100" w:afterAutospacing="1" w:line="240" w:lineRule="auto"/>
        <w:jc w:val="both"/>
        <w:rPr>
          <w:rFonts w:eastAsia="Times New Roman" w:cs="Arial"/>
          <w:sz w:val="24"/>
          <w:szCs w:val="24"/>
        </w:rPr>
      </w:pPr>
    </w:p>
    <w:p w:rsidR="00704DD2" w:rsidRPr="00C673BB" w:rsidRDefault="00704DD2" w:rsidP="00704DD2">
      <w:pPr>
        <w:spacing w:before="225" w:after="30" w:line="240" w:lineRule="auto"/>
        <w:jc w:val="center"/>
        <w:outlineLvl w:val="4"/>
        <w:rPr>
          <w:rFonts w:ascii="Georgia" w:eastAsia="Times New Roman" w:hAnsi="Georgia" w:cs="Arial"/>
          <w:b/>
          <w:bCs/>
          <w:color w:val="002060"/>
          <w:sz w:val="28"/>
          <w:szCs w:val="28"/>
        </w:rPr>
      </w:pPr>
      <w:r w:rsidRPr="00C673BB">
        <w:rPr>
          <w:rFonts w:ascii="Georgia" w:eastAsia="Times New Roman" w:hAnsi="Georgia" w:cs="Arial"/>
          <w:b/>
          <w:bCs/>
          <w:color w:val="002060"/>
          <w:sz w:val="28"/>
          <w:szCs w:val="28"/>
        </w:rPr>
        <w:t>Bequests by a Will or Living Trust</w:t>
      </w:r>
    </w:p>
    <w:p w:rsidR="00704DD2" w:rsidRPr="00704DD2" w:rsidRDefault="00704DD2" w:rsidP="00704DD2">
      <w:pPr>
        <w:spacing w:before="100" w:beforeAutospacing="1" w:after="100" w:afterAutospacing="1" w:line="240" w:lineRule="auto"/>
        <w:jc w:val="both"/>
        <w:rPr>
          <w:rFonts w:eastAsia="Times New Roman" w:cs="Arial"/>
          <w:sz w:val="24"/>
          <w:szCs w:val="24"/>
        </w:rPr>
      </w:pPr>
      <w:r w:rsidRPr="00704DD2">
        <w:rPr>
          <w:rFonts w:eastAsia="Times New Roman" w:cs="Arial"/>
          <w:sz w:val="24"/>
          <w:szCs w:val="24"/>
        </w:rPr>
        <w:lastRenderedPageBreak/>
        <w:t>One of the simplest ways to make a planned gift is to include a statement in your will or living trust that a share of your estate will be distributed to the Foundation for the purpose that you name). Bequests are deductible as charitable gifts for estate tax purposes and can include most assets. A charitable bequest may be added to an existing will as a codicil.</w:t>
      </w:r>
    </w:p>
    <w:p w:rsidR="00704DD2" w:rsidRPr="00762CBF" w:rsidRDefault="00704DD2" w:rsidP="00F41B87">
      <w:pPr>
        <w:spacing w:before="100" w:beforeAutospacing="1" w:after="100" w:afterAutospacing="1" w:line="240" w:lineRule="auto"/>
        <w:jc w:val="both"/>
        <w:rPr>
          <w:rFonts w:eastAsia="Times New Roman" w:cs="Arial"/>
          <w:sz w:val="24"/>
          <w:szCs w:val="24"/>
        </w:rPr>
      </w:pPr>
    </w:p>
    <w:p w:rsidR="00F41B87" w:rsidRPr="00762CBF" w:rsidRDefault="00F41B87" w:rsidP="00FD027E">
      <w:pPr>
        <w:spacing w:before="225" w:after="30" w:line="240" w:lineRule="auto"/>
        <w:jc w:val="center"/>
        <w:outlineLvl w:val="4"/>
        <w:rPr>
          <w:rFonts w:eastAsia="Times New Roman" w:cs="Arial"/>
          <w:b/>
          <w:bCs/>
          <w:color w:val="002060"/>
          <w:sz w:val="28"/>
          <w:szCs w:val="28"/>
          <w:u w:val="single"/>
        </w:rPr>
      </w:pPr>
      <w:r w:rsidRPr="00762CBF">
        <w:rPr>
          <w:rFonts w:ascii="Georgia" w:eastAsia="Times New Roman" w:hAnsi="Georgia" w:cs="Arial"/>
          <w:b/>
          <w:bCs/>
          <w:color w:val="002060"/>
          <w:sz w:val="28"/>
          <w:szCs w:val="28"/>
        </w:rPr>
        <w:t>Special</w:t>
      </w:r>
      <w:r w:rsidRPr="00762CBF">
        <w:rPr>
          <w:rFonts w:eastAsia="Times New Roman" w:cs="Arial"/>
          <w:b/>
          <w:bCs/>
          <w:color w:val="002060"/>
          <w:sz w:val="28"/>
          <w:szCs w:val="28"/>
        </w:rPr>
        <w:t xml:space="preserve"> Note </w:t>
      </w:r>
      <w:r w:rsidR="00762CBF">
        <w:rPr>
          <w:rFonts w:eastAsia="Times New Roman" w:cs="Arial"/>
          <w:b/>
          <w:bCs/>
          <w:color w:val="002060"/>
          <w:sz w:val="28"/>
          <w:szCs w:val="28"/>
        </w:rPr>
        <w:t>t</w:t>
      </w:r>
      <w:r w:rsidRPr="00762CBF">
        <w:rPr>
          <w:rFonts w:eastAsia="Times New Roman" w:cs="Arial"/>
          <w:b/>
          <w:bCs/>
          <w:color w:val="002060"/>
          <w:sz w:val="28"/>
          <w:szCs w:val="28"/>
        </w:rPr>
        <w:t>o Personal Representatives of a Person’s Will or Living Trust</w:t>
      </w:r>
    </w:p>
    <w:p w:rsidR="00704DD2" w:rsidRPr="00704DD2" w:rsidRDefault="00F41B87" w:rsidP="00704DD2">
      <w:pPr>
        <w:spacing w:before="100" w:beforeAutospacing="1" w:after="100" w:afterAutospacing="1" w:line="240" w:lineRule="auto"/>
        <w:jc w:val="both"/>
        <w:rPr>
          <w:rFonts w:eastAsia="Times New Roman" w:cs="Arial"/>
          <w:sz w:val="24"/>
          <w:szCs w:val="24"/>
        </w:rPr>
      </w:pPr>
      <w:r w:rsidRPr="00704DD2">
        <w:rPr>
          <w:rFonts w:eastAsia="Times New Roman" w:cs="Arial"/>
          <w:sz w:val="24"/>
          <w:szCs w:val="24"/>
        </w:rPr>
        <w:t>As the administrator of a will or estate, you may have been directed to allocate a certain portion of the estate to charity, but if the organizations are not named you may find carrying out the charitable provision burdensome. While the estate might contemplate creating a private foundation, the amount involved may be too small to justify the administrative costs. A solution is to open a f</w:t>
      </w:r>
      <w:r w:rsidR="00A726F4" w:rsidRPr="00704DD2">
        <w:rPr>
          <w:rFonts w:eastAsia="Times New Roman" w:cs="Arial"/>
          <w:sz w:val="24"/>
          <w:szCs w:val="24"/>
        </w:rPr>
        <w:t>und at the F</w:t>
      </w:r>
      <w:r w:rsidRPr="00704DD2">
        <w:rPr>
          <w:rFonts w:eastAsia="Times New Roman" w:cs="Arial"/>
          <w:sz w:val="24"/>
          <w:szCs w:val="24"/>
        </w:rPr>
        <w:t>oundation in the name of the person who died and arrange to have the charitable portion of the estate paid to the fund. That way, we assume the task of carrying out the charitable provisions of the will (approval of the probate court may be necessary). The foundation has handled complex bequests in similar situations and has experience in ensuring the wishes of the deceased are carried out in full.</w:t>
      </w:r>
      <w:r w:rsidR="00FD027E" w:rsidRPr="00704DD2">
        <w:rPr>
          <w:rFonts w:eastAsia="Times New Roman" w:cs="Arial"/>
          <w:sz w:val="24"/>
          <w:szCs w:val="24"/>
        </w:rPr>
        <w:t xml:space="preserve">  </w:t>
      </w:r>
    </w:p>
    <w:p w:rsidR="00A96BB8" w:rsidRPr="00704DD2" w:rsidRDefault="00FD027E" w:rsidP="00704DD2">
      <w:pPr>
        <w:spacing w:before="100" w:beforeAutospacing="1" w:after="100" w:afterAutospacing="1" w:line="240" w:lineRule="auto"/>
        <w:jc w:val="both"/>
        <w:rPr>
          <w:sz w:val="24"/>
          <w:szCs w:val="24"/>
        </w:rPr>
      </w:pPr>
      <w:r w:rsidRPr="00704DD2">
        <w:rPr>
          <w:rFonts w:eastAsia="Times New Roman" w:cs="Arial"/>
          <w:i/>
          <w:iCs/>
          <w:sz w:val="24"/>
          <w:szCs w:val="24"/>
        </w:rPr>
        <w:t>T</w:t>
      </w:r>
      <w:r w:rsidR="00F41B87" w:rsidRPr="00704DD2">
        <w:rPr>
          <w:rFonts w:eastAsia="Times New Roman" w:cs="Arial"/>
          <w:i/>
          <w:iCs/>
          <w:sz w:val="24"/>
          <w:szCs w:val="24"/>
        </w:rPr>
        <w:t xml:space="preserve">o discuss planned giving options, please contact Foundation Executive Director Kate </w:t>
      </w:r>
      <w:r w:rsidRPr="00704DD2">
        <w:rPr>
          <w:rFonts w:eastAsia="Times New Roman" w:cs="Arial"/>
          <w:i/>
          <w:iCs/>
          <w:sz w:val="24"/>
          <w:szCs w:val="24"/>
        </w:rPr>
        <w:t>Cellucci at 610-519-0777 or e-mail</w:t>
      </w:r>
      <w:r w:rsidR="00F41B87" w:rsidRPr="00704DD2">
        <w:rPr>
          <w:rFonts w:eastAsia="Times New Roman" w:cs="Arial"/>
          <w:i/>
          <w:iCs/>
          <w:sz w:val="24"/>
          <w:szCs w:val="24"/>
        </w:rPr>
        <w:t xml:space="preserve"> </w:t>
      </w:r>
      <w:hyperlink r:id="rId6" w:history="1">
        <w:r w:rsidR="00F41B87" w:rsidRPr="00704DD2">
          <w:rPr>
            <w:rStyle w:val="Hyperlink"/>
            <w:rFonts w:eastAsia="Times New Roman" w:cs="Arial"/>
            <w:i/>
            <w:iCs/>
            <w:color w:val="auto"/>
            <w:sz w:val="24"/>
            <w:szCs w:val="24"/>
          </w:rPr>
          <w:t>katecellucci@bluewhit</w:t>
        </w:r>
        <w:bookmarkStart w:id="0" w:name="_GoBack"/>
        <w:bookmarkEnd w:id="0"/>
        <w:r w:rsidR="00F41B87" w:rsidRPr="00704DD2">
          <w:rPr>
            <w:rStyle w:val="Hyperlink"/>
            <w:rFonts w:eastAsia="Times New Roman" w:cs="Arial"/>
            <w:i/>
            <w:iCs/>
            <w:color w:val="auto"/>
            <w:sz w:val="24"/>
            <w:szCs w:val="24"/>
          </w:rPr>
          <w:t>eclub.com</w:t>
        </w:r>
      </w:hyperlink>
      <w:r w:rsidR="00F41B87" w:rsidRPr="00704DD2">
        <w:rPr>
          <w:rFonts w:eastAsia="Times New Roman" w:cs="Arial"/>
          <w:i/>
          <w:iCs/>
          <w:sz w:val="24"/>
          <w:szCs w:val="24"/>
        </w:rPr>
        <w:t>.</w:t>
      </w:r>
    </w:p>
    <w:sectPr w:rsidR="00A96BB8" w:rsidRPr="00704DD2" w:rsidSect="008E3EC2">
      <w:headerReference w:type="even" r:id="rId7"/>
      <w:headerReference w:type="default" r:id="rId8"/>
      <w:footerReference w:type="even" r:id="rId9"/>
      <w:footerReference w:type="default" r:id="rId10"/>
      <w:headerReference w:type="first" r:id="rId11"/>
      <w:footerReference w:type="first" r:id="rId12"/>
      <w:pgSz w:w="12240" w:h="15840"/>
      <w:pgMar w:top="0" w:right="806" w:bottom="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7D" w:rsidRDefault="0027307D" w:rsidP="00F41B87">
      <w:pPr>
        <w:spacing w:after="0" w:line="240" w:lineRule="auto"/>
      </w:pPr>
      <w:r>
        <w:separator/>
      </w:r>
    </w:p>
  </w:endnote>
  <w:endnote w:type="continuationSeparator" w:id="0">
    <w:p w:rsidR="0027307D" w:rsidRDefault="0027307D" w:rsidP="00F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87" w:rsidRDefault="00F41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87" w:rsidRDefault="00F41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87" w:rsidRDefault="00F4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7D" w:rsidRDefault="0027307D" w:rsidP="00F41B87">
      <w:pPr>
        <w:spacing w:after="0" w:line="240" w:lineRule="auto"/>
      </w:pPr>
      <w:r>
        <w:separator/>
      </w:r>
    </w:p>
  </w:footnote>
  <w:footnote w:type="continuationSeparator" w:id="0">
    <w:p w:rsidR="0027307D" w:rsidRDefault="0027307D" w:rsidP="00F4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87" w:rsidRDefault="00F4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87" w:rsidRDefault="00F41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87" w:rsidRDefault="00F41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412E6"/>
    <w:rsid w:val="0000058F"/>
    <w:rsid w:val="00052D1C"/>
    <w:rsid w:val="0012774F"/>
    <w:rsid w:val="001A6BD4"/>
    <w:rsid w:val="001E11CC"/>
    <w:rsid w:val="0027307D"/>
    <w:rsid w:val="00340148"/>
    <w:rsid w:val="00431296"/>
    <w:rsid w:val="0049779F"/>
    <w:rsid w:val="005422A2"/>
    <w:rsid w:val="00570CEF"/>
    <w:rsid w:val="005D0EA4"/>
    <w:rsid w:val="00655E7B"/>
    <w:rsid w:val="006A46F2"/>
    <w:rsid w:val="00704DD2"/>
    <w:rsid w:val="00762CBF"/>
    <w:rsid w:val="007A2DFA"/>
    <w:rsid w:val="008412E6"/>
    <w:rsid w:val="00884AAB"/>
    <w:rsid w:val="008E3EC2"/>
    <w:rsid w:val="0092394C"/>
    <w:rsid w:val="009600F1"/>
    <w:rsid w:val="00A726F4"/>
    <w:rsid w:val="00A96BB8"/>
    <w:rsid w:val="00A96F60"/>
    <w:rsid w:val="00AD3CA0"/>
    <w:rsid w:val="00B22F4E"/>
    <w:rsid w:val="00C04BFF"/>
    <w:rsid w:val="00C673BB"/>
    <w:rsid w:val="00D903E0"/>
    <w:rsid w:val="00DF7E57"/>
    <w:rsid w:val="00E56D28"/>
    <w:rsid w:val="00E605A9"/>
    <w:rsid w:val="00F41B87"/>
    <w:rsid w:val="00FB44FD"/>
    <w:rsid w:val="00FD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EB3A1"/>
  <w15:docId w15:val="{7CEB5A89-9C80-4B99-AF3D-E9C758B1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87"/>
  </w:style>
  <w:style w:type="paragraph" w:styleId="Footer">
    <w:name w:val="footer"/>
    <w:basedOn w:val="Normal"/>
    <w:link w:val="FooterChar"/>
    <w:uiPriority w:val="99"/>
    <w:unhideWhenUsed/>
    <w:rsid w:val="00F4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87"/>
  </w:style>
  <w:style w:type="paragraph" w:styleId="BalloonText">
    <w:name w:val="Balloon Text"/>
    <w:basedOn w:val="Normal"/>
    <w:link w:val="BalloonTextChar"/>
    <w:uiPriority w:val="99"/>
    <w:semiHidden/>
    <w:unhideWhenUsed/>
    <w:rsid w:val="00F4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87"/>
    <w:rPr>
      <w:rFonts w:ascii="Tahoma" w:hAnsi="Tahoma" w:cs="Tahoma"/>
      <w:sz w:val="16"/>
      <w:szCs w:val="16"/>
    </w:rPr>
  </w:style>
  <w:style w:type="character" w:styleId="Hyperlink">
    <w:name w:val="Hyperlink"/>
    <w:basedOn w:val="DefaultParagraphFont"/>
    <w:uiPriority w:val="99"/>
    <w:unhideWhenUsed/>
    <w:rsid w:val="00F41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2089">
      <w:bodyDiv w:val="1"/>
      <w:marLeft w:val="0"/>
      <w:marRight w:val="0"/>
      <w:marTop w:val="0"/>
      <w:marBottom w:val="0"/>
      <w:divBdr>
        <w:top w:val="none" w:sz="0" w:space="0" w:color="auto"/>
        <w:left w:val="none" w:sz="0" w:space="0" w:color="auto"/>
        <w:bottom w:val="none" w:sz="0" w:space="0" w:color="auto"/>
        <w:right w:val="none" w:sz="0" w:space="0" w:color="auto"/>
      </w:divBdr>
      <w:divsChild>
        <w:div w:id="13118989">
          <w:marLeft w:val="0"/>
          <w:marRight w:val="0"/>
          <w:marTop w:val="0"/>
          <w:marBottom w:val="0"/>
          <w:divBdr>
            <w:top w:val="none" w:sz="0" w:space="0" w:color="auto"/>
            <w:left w:val="none" w:sz="0" w:space="0" w:color="auto"/>
            <w:bottom w:val="none" w:sz="0" w:space="0" w:color="auto"/>
            <w:right w:val="none" w:sz="0" w:space="0" w:color="auto"/>
          </w:divBdr>
          <w:divsChild>
            <w:div w:id="182868394">
              <w:marLeft w:val="0"/>
              <w:marRight w:val="0"/>
              <w:marTop w:val="0"/>
              <w:marBottom w:val="0"/>
              <w:divBdr>
                <w:top w:val="none" w:sz="0" w:space="0" w:color="auto"/>
                <w:left w:val="none" w:sz="0" w:space="0" w:color="auto"/>
                <w:bottom w:val="none" w:sz="0" w:space="0" w:color="auto"/>
                <w:right w:val="none" w:sz="0" w:space="0" w:color="auto"/>
              </w:divBdr>
              <w:divsChild>
                <w:div w:id="21274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2814">
          <w:marLeft w:val="0"/>
          <w:marRight w:val="0"/>
          <w:marTop w:val="0"/>
          <w:marBottom w:val="0"/>
          <w:divBdr>
            <w:top w:val="none" w:sz="0" w:space="0" w:color="auto"/>
            <w:left w:val="none" w:sz="0" w:space="0" w:color="auto"/>
            <w:bottom w:val="none" w:sz="0" w:space="0" w:color="auto"/>
            <w:right w:val="none" w:sz="0" w:space="0" w:color="auto"/>
          </w:divBdr>
          <w:divsChild>
            <w:div w:id="205219629">
              <w:marLeft w:val="0"/>
              <w:marRight w:val="0"/>
              <w:marTop w:val="0"/>
              <w:marBottom w:val="0"/>
              <w:divBdr>
                <w:top w:val="none" w:sz="0" w:space="0" w:color="auto"/>
                <w:left w:val="none" w:sz="0" w:space="0" w:color="auto"/>
                <w:bottom w:val="none" w:sz="0" w:space="0" w:color="auto"/>
                <w:right w:val="none" w:sz="0" w:space="0" w:color="auto"/>
              </w:divBdr>
              <w:divsChild>
                <w:div w:id="491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cellucci@bluewhiteclu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Cellucci</cp:lastModifiedBy>
  <cp:revision>19</cp:revision>
  <cp:lastPrinted>2016-08-04T23:40:00Z</cp:lastPrinted>
  <dcterms:created xsi:type="dcterms:W3CDTF">2014-07-11T22:41:00Z</dcterms:created>
  <dcterms:modified xsi:type="dcterms:W3CDTF">2016-08-05T12:38:00Z</dcterms:modified>
</cp:coreProperties>
</file>